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120" w:lineRule="auto"/>
        <w:contextualSpacing w:val="0"/>
      </w:pP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196.0" w:type="dxa"/>
        <w:jc w:val="left"/>
        <w:tblInd w:w="-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96"/>
        <w:tblGridChange w:id="0">
          <w:tblGrid>
            <w:gridCol w:w="10196"/>
          </w:tblGrid>
        </w:tblGridChange>
      </w:tblGrid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46ca7"/>
                <w:sz w:val="18"/>
                <w:szCs w:val="18"/>
                <w:vertAlign w:val="baseline"/>
                <w:rtl w:val="0"/>
              </w:rPr>
              <w:t xml:space="preserve">FN511 - Linguagem e Intervenção Fonoaudiológica 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  <w:rtl w:val="0"/>
              </w:rPr>
              <w:t xml:space="preserve">OF:S-1 T:002 P:000 L:000 O:000 D:000 HS:002 SL:002 C:002 AV:N EX:S FM:75%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Pré-Req.: Não há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Ementa: 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O acompanhamento fonoaudiológico das alterações de fala e da gagueira. Discussão dos conceitos de fluência e de disfluência. A prevenção, avaliação e o acompanhamento clínico-terapêutico das alterações de fala e de gagueira. A intervenção terapêutica individual e em grupo. Atuação multi e interdisciplinar e em diferentes contextos - familiar, escolar e outros. Atuação fonoaudiológica na atenção básica.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12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196.0" w:type="dxa"/>
        <w:jc w:val="left"/>
        <w:tblInd w:w="-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96"/>
        <w:tblGridChange w:id="0">
          <w:tblGrid>
            <w:gridCol w:w="10196"/>
          </w:tblGrid>
        </w:tblGridChange>
      </w:tblGrid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2f2f2"/>
                <w:sz w:val="18"/>
                <w:szCs w:val="18"/>
                <w:vertAlign w:val="baseline"/>
                <w:rtl w:val="0"/>
              </w:rPr>
              <w:t xml:space="preserve">Horas Semanais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0"/>
              <w:tblW w:w="9987.0" w:type="dxa"/>
              <w:jc w:val="left"/>
              <w:tblLayout w:type="fixed"/>
              <w:tblLook w:val="0000"/>
            </w:tblPr>
            <w:tblGrid>
              <w:gridCol w:w="1435"/>
              <w:gridCol w:w="1418"/>
              <w:gridCol w:w="1418"/>
              <w:gridCol w:w="1443"/>
              <w:gridCol w:w="1437"/>
              <w:gridCol w:w="1418"/>
              <w:gridCol w:w="1418"/>
              <w:tblGridChange w:id="0">
                <w:tblGrid>
                  <w:gridCol w:w="1435"/>
                  <w:gridCol w:w="1418"/>
                  <w:gridCol w:w="1418"/>
                  <w:gridCol w:w="1443"/>
                  <w:gridCol w:w="1437"/>
                  <w:gridCol w:w="1418"/>
                  <w:gridCol w:w="1418"/>
                </w:tblGrid>
              </w:tblGridChange>
            </w:tblGrid>
            <w:tr>
              <w:tc>
                <w:tcPr>
                  <w:shd w:fill="c0c0c0"/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6"/>
                      <w:szCs w:val="16"/>
                      <w:vertAlign w:val="baseline"/>
                      <w:rtl w:val="0"/>
                    </w:rPr>
                    <w:t xml:space="preserve">Nº semanas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c0c0c0"/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6"/>
                      <w:szCs w:val="16"/>
                      <w:vertAlign w:val="baseline"/>
                      <w:rtl w:val="0"/>
                    </w:rPr>
                    <w:t xml:space="preserve">Carga horária total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c0c0c0"/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6"/>
                      <w:szCs w:val="16"/>
                      <w:vertAlign w:val="baseline"/>
                      <w:rtl w:val="0"/>
                    </w:rPr>
                    <w:t xml:space="preserve">    Aprovação (NOTA)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c0c0c0"/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c0c0c0"/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c0c0c0"/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c0c0c0"/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6"/>
                      <w:szCs w:val="16"/>
                      <w:vertAlign w:val="baseline"/>
                      <w:rtl w:val="0"/>
                    </w:rPr>
                    <w:t xml:space="preserve">15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6"/>
                      <w:szCs w:val="16"/>
                      <w:vertAlign w:val="baseline"/>
                      <w:rtl w:val="0"/>
                    </w:rPr>
                    <w:t xml:space="preserve">30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6"/>
                      <w:szCs w:val="16"/>
                      <w:vertAlign w:val="baseline"/>
                      <w:rtl w:val="0"/>
                    </w:rPr>
                    <w:t xml:space="preserve">5,0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12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0150.0" w:type="dxa"/>
        <w:jc w:val="left"/>
        <w:tblInd w:w="-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50"/>
        <w:tblGridChange w:id="0">
          <w:tblGrid>
            <w:gridCol w:w="10150"/>
          </w:tblGrid>
        </w:tblGridChange>
      </w:tblGrid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Objetivos: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Geral: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- Propiciar subsídios teórico-práticos para o acompanhamento fonoaudiológico das alterações de linguagem oral e da gagueira.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Específicos: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- Incentivar uma postura crítica e reflexiva das alterações da oralidade em uma perspectiva de atenção integral e humanizada.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- Fornecer subsídios para compreensão e análise dos determinantes biopsicossociais das alterações de linguagem oral e da gagueira.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- Propiciar subsídios para compreensão, análise e atuação no acompanhamento terapêutico das alterações de linguagem oral e da gagueira em diferentes contextos - familiar, escolar e profissional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- Fornecer subsídios para compreensão e análise da relação e da atuação com e junto à família no acompanhamento fonoaudiológico das alterações de linguagem oral e da gagueira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- Propiciar reflexão e subsídios acerca da atuação multi e interdisciplinar no acompanhamento fonoaudiológico em linguagem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12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0150.0" w:type="dxa"/>
        <w:jc w:val="left"/>
        <w:tblInd w:w="-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50"/>
        <w:tblGridChange w:id="0">
          <w:tblGrid>
            <w:gridCol w:w="10150"/>
          </w:tblGrid>
        </w:tblGridChange>
      </w:tblGrid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Programa: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6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 atuação fonoaudiológica no acompanhamento terapêutico das alterações de linguagem oral e da gagueira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6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A natureza e a intervenção clínico-terapêutica das alterações de linguagem oral sob diferentes abordagens com ênfase em uma perspectiva discursiva da linguagem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6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A natureza e a intervenção clínico-terapêutica da gagueira sob diferentes abordagens, com ênfase em uma perspectiva psicossocial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6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 relação e a atuação com e junto à família no acompanhamento fonoaudiológico das alterações de linguagem oral e da gagueira.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Atuação multi e interdisciplinar nas alterações de linguagem oral e da gagueira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>
      <w:pPr>
        <w:spacing w:line="120" w:lineRule="auto"/>
        <w:ind w:left="-181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10150.0" w:type="dxa"/>
        <w:jc w:val="left"/>
        <w:tblInd w:w="-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50"/>
        <w:tblGridChange w:id="0">
          <w:tblGrid>
            <w:gridCol w:w="10150"/>
          </w:tblGrid>
        </w:tblGridChange>
      </w:tblGrid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Bibliografia:</w:t>
            </w:r>
          </w:p>
        </w:tc>
      </w:tr>
      <w:tr>
        <w:trPr>
          <w:trHeight w:val="1794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ind w:left="600" w:hanging="56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ASHA -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American Speech-Language-Hearing Association (2016).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highlight w:val="white"/>
                <w:rtl w:val="0"/>
              </w:rPr>
              <w:t xml:space="preserve">Scope of practice in speech-language pathology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[Scope of Practice]</w:t>
            </w:r>
            <w:r w:rsidDel="00000000" w:rsidR="00000000" w:rsidRPr="00000000">
              <w:rPr>
                <w:rFonts w:ascii="Arial" w:cs="Arial" w:eastAsia="Arial" w:hAnsi="Arial"/>
                <w:color w:val="58595b"/>
                <w:sz w:val="19"/>
                <w:szCs w:val="19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Disponível em: </w:t>
            </w:r>
            <w:hyperlink r:id="rId5">
              <w:r w:rsidDel="00000000" w:rsidR="00000000" w:rsidRPr="00000000">
                <w:rPr>
                  <w:rFonts w:ascii="Arial" w:cs="Arial" w:eastAsia="Arial" w:hAnsi="Arial"/>
                  <w:sz w:val="18"/>
                  <w:szCs w:val="18"/>
                  <w:rtl w:val="0"/>
                </w:rPr>
                <w:t xml:space="preserve"> </w:t>
              </w:r>
            </w:hyperlink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http://www.asha.org/policy/SP2016-00343/</w:t>
              </w:r>
            </w:hyperlink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Acesso em: 04/01/2017.</w:t>
            </w:r>
          </w:p>
          <w:p w:rsidR="00000000" w:rsidDel="00000000" w:rsidP="00000000" w:rsidRDefault="00000000" w:rsidRPr="00000000">
            <w:pPr>
              <w:ind w:left="539" w:hanging="539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ANDRADE CRF. Gagueira. In: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MARCHESAN IQ, SILVA HJ da, TOMÉ MC. (orgs). Tratado das Especialidades em Fonoaudiologia. São Paulo: Guanabara Koogan. 2014, pp.653-657.</w:t>
            </w:r>
          </w:p>
          <w:p w:rsidR="00000000" w:rsidDel="00000000" w:rsidP="00000000" w:rsidRDefault="00000000" w:rsidRPr="00000000">
            <w:pPr>
              <w:ind w:left="539" w:hanging="539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ANDRADE CRF; CUNHA MC; JUSTE FS; RITTO AP; ALMEIDA BPB de.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Autopercepção da pessoa que gagueja quanto à avaliação de suas experiências e dos resultados de seu(s) tratamento(s) para a gagueira. CoDAS 2014;26(5):415-20</w:t>
            </w:r>
          </w:p>
          <w:p w:rsidR="00000000" w:rsidDel="00000000" w:rsidP="00000000" w:rsidRDefault="00000000" w:rsidRPr="00000000">
            <w:pPr>
              <w:tabs>
                <w:tab w:val="center" w:pos="4419"/>
                <w:tab w:val="right" w:pos="8838"/>
              </w:tabs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BERTI LC. Contribuições da lingüística para o planejamento terapêutico de crianças com os chamados desvios fonológicos. Estudos Lingüísticos XXXII, Anais de seminários do GEL, vol. I, São Paulo, 2002.</w:t>
            </w:r>
          </w:p>
          <w:p w:rsidR="00000000" w:rsidDel="00000000" w:rsidP="00000000" w:rsidRDefault="00000000" w:rsidRPr="00000000">
            <w:pPr>
              <w:ind w:left="606" w:hanging="606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BERTI LC, PAGLIUSO A, LACAVA F. Instrumento de avaliação de fala para análise acústica (IAFAC) baseado em critérios linguísticos. Rev Soc Bras Fonoaudiol. 2009; 14(3):305-14.</w:t>
            </w:r>
          </w:p>
          <w:p w:rsidR="00000000" w:rsidDel="00000000" w:rsidP="00000000" w:rsidRDefault="00000000" w:rsidRPr="00000000">
            <w:pPr>
              <w:ind w:left="607" w:hanging="607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CARVALHO NG de; CHUN RYS; MONTILHA RCI. Processos grupais com familiares: percepção de graduandos de fonoaudiologia. Rev. CEFAC. 2015, 17(4):1079-1089.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CHUN RYS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vertAlign w:val="baseline"/>
                <w:rtl w:val="0"/>
              </w:rPr>
              <w:t xml:space="preserve">; ZERBETO AB. PTF para Intervenção com Crianças vistas como Gagas norteado pela CIF. In: Pró-Fono. </w:t>
            </w:r>
          </w:p>
          <w:p w:rsidR="00000000" w:rsidDel="00000000" w:rsidP="00000000" w:rsidRDefault="00000000" w:rsidRPr="00000000">
            <w:pPr>
              <w:ind w:left="708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vertAlign w:val="baseline"/>
                <w:rtl w:val="0"/>
              </w:rPr>
              <w:t xml:space="preserve">(Org.). Planos Terapêuticos Fonoaudiológicos (PTFs) Volume 2. 1ªed. Barueri: Pró-Fono, 2015, v. 2, p. 265-270.</w:t>
            </w:r>
          </w:p>
          <w:p w:rsidR="00000000" w:rsidDel="00000000" w:rsidP="00000000" w:rsidRDefault="00000000" w:rsidRPr="00000000">
            <w:pPr>
              <w:spacing w:after="0" w:before="0" w:lineRule="auto"/>
              <w:ind w:left="606" w:hanging="606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CHUN RYS; NAKAMURA HY. Cuidado na Produção da Saúde – Questões para a Fonoaudiologia. In: MARCHESAN IQ, SILVA HJ da, TOMÉ MC. (orgs). Tratado das Especialidades em Fonoaudiologia. São Paulo: Guanabara Koogan. 2014, pp.744-749</w:t>
            </w:r>
          </w:p>
          <w:p w:rsidR="00000000" w:rsidDel="00000000" w:rsidP="00000000" w:rsidRDefault="00000000" w:rsidRPr="00000000">
            <w:pPr>
              <w:ind w:left="606" w:hanging="606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DAMASCENO WAP de L,  FRIEDMAN S. Análise da produção científica fonoaudiológica nacional sobre gagueira.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Rev. CEFAC. 2011, 13(1):41-47.</w:t>
            </w:r>
          </w:p>
          <w:p w:rsidR="00000000" w:rsidDel="00000000" w:rsidP="00000000" w:rsidRDefault="00000000" w:rsidRPr="00000000">
            <w:pPr>
              <w:ind w:left="567" w:hanging="567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FRIEDMAN S. Fluência de Fala: Um acontecimento complexo. In: FERNANDES DMF, MENDES BCA, NAVAS ALPGP (orgs).Tratado de Fonoaudiologia. 2ª. edição. São Paulo: Roca, 2009, pp.443-448.</w:t>
            </w:r>
          </w:p>
          <w:p w:rsidR="00000000" w:rsidDel="00000000" w:rsidP="00000000" w:rsidRDefault="00000000" w:rsidRPr="00000000">
            <w:pPr>
              <w:ind w:left="567" w:hanging="567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______________ Reflexões Sobre a Natureza e o Tratamento da Gagueira. In: PASSOS MC. (org.) Fonoaudiologia: recriando seus sentidos. São Paulo: Plexus Editora, 1996, pp.</w:t>
            </w:r>
          </w:p>
          <w:p w:rsidR="00000000" w:rsidDel="00000000" w:rsidP="00000000" w:rsidRDefault="00000000" w:rsidRPr="00000000">
            <w:pPr>
              <w:ind w:left="567" w:hanging="567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____________.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Cartas com um Paciente(co-autor): um processo de terapia para gagueira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 São Paulo: EDUC, 1988. Disponivel em: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http://www.gagueiraesubjetividade.info/livro_cartas/cartas_paciente_port.pdf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 . Acesso em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04/01/2017.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06" w:hanging="606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FRIEDMAN S, PEREIRA ASC, PIRES TI. Análise da produção científica fonoaudiológica brasileira sobre família. Distúrb Comun. 2010, 22(1):15-23.</w:t>
            </w:r>
          </w:p>
          <w:p w:rsidR="00000000" w:rsidDel="00000000" w:rsidP="00000000" w:rsidRDefault="00000000" w:rsidRPr="00000000">
            <w:pPr>
              <w:ind w:left="540" w:hanging="54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GOMES ICD. Proposta de Avaliação dos Quadros de Disfluência Infantil. In: MARCHESAN, IQ et al (orgs.). Tópicos em Fonoaudiologia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 São Paulo: Lovise, 1994.</w:t>
            </w:r>
          </w:p>
          <w:p w:rsidR="00000000" w:rsidDel="00000000" w:rsidP="00000000" w:rsidRDefault="00000000" w:rsidRPr="00000000">
            <w:pPr>
              <w:ind w:left="540" w:hanging="54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KRUEL CS et al. Categorias enunciativas na descrição do funcionamento de linguagem de mães e bebês de um a quatro meses.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CoDAS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2016; 28(3): 244-25.</w:t>
            </w:r>
          </w:p>
          <w:p w:rsidR="00000000" w:rsidDel="00000000" w:rsidP="00000000" w:rsidRDefault="00000000" w:rsidRPr="00000000">
            <w:pPr>
              <w:ind w:left="606" w:hanging="568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MOLINI-AVEJONAS DR, MENDES VLF. Atenção Básica – Atuação fonoaudiológica no Núcleo de Apoio à Saúde da Família (NASF). In: MARCHESAN IQ, SILVA HJ da, TOMÉ MC.(orgs). Tratado das Tratado das Especialidades em Fonoaudiologia. São Paulo: Guanabara Koogan. 2014, pp-822-830.</w:t>
            </w:r>
          </w:p>
          <w:p w:rsidR="00000000" w:rsidDel="00000000" w:rsidP="00000000" w:rsidRDefault="00000000" w:rsidRPr="00000000">
            <w:pPr>
              <w:ind w:left="540" w:hanging="54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MORAES R de A, NEMR K.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 Gagueira sob diferentes olhares: análise comparativa das abordagens de quatro autoras. Rev CEFAC. 2007; 9(3):300-318.</w:t>
            </w:r>
          </w:p>
          <w:p w:rsidR="00000000" w:rsidDel="00000000" w:rsidP="00000000" w:rsidRDefault="00000000" w:rsidRPr="00000000">
            <w:pPr>
              <w:ind w:left="540" w:hanging="54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PANHOCA I. Fonoaudiologia na Perspectiva da Neurolinguística Enunciativo-Discursiva. In: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MARCHESAN IQ, SILVA HJ da, TOMÉ MC. (orgs). Tratado das Especialidades em Fonoaudiologia. São Paulo: Guanabara Koogan. 2014, pp-678-683.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67" w:hanging="567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PENTEADO RZ. Subjetividade e Promoção da Saúde na clínica fonoaudiológica. Pró-Fono R. Atual. Cient. 2002; 14(1):61-72.</w:t>
            </w:r>
          </w:p>
          <w:p w:rsidR="00000000" w:rsidDel="00000000" w:rsidP="00000000" w:rsidRDefault="00000000" w:rsidRPr="00000000">
            <w:pPr>
              <w:ind w:left="540" w:hanging="54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PERISSINOTO J, AVILA CRB de. Avaliação e Diagnóstico das Linguagens Oral e Escrita. In: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MARCHESAN IQ, SILVA HJ da, TOMÉ MC. (orgs). Tratado das Especialidades em Fonoaudiologia. São Paulo: Guanabara Koogan. 2014, pp-609-614.</w:t>
            </w:r>
          </w:p>
          <w:p w:rsidR="00000000" w:rsidDel="00000000" w:rsidP="00000000" w:rsidRDefault="00000000" w:rsidRPr="00000000">
            <w:pPr>
              <w:ind w:left="540" w:hanging="54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PRATES LPCS, MARTINS V de O. Distúrbios da fala e da linguagem na infância. 2011.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sz w:val="18"/>
                  <w:szCs w:val="18"/>
                  <w:rtl w:val="0"/>
                </w:rPr>
                <w:t xml:space="preserve">Rev. Méd. Minas Gerais</w:t>
              </w:r>
            </w:hyperlink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; 21(4-S1): 54-60.</w:t>
            </w:r>
          </w:p>
          <w:p w:rsidR="00000000" w:rsidDel="00000000" w:rsidP="00000000" w:rsidRDefault="00000000" w:rsidRPr="00000000">
            <w:pPr>
              <w:ind w:left="567" w:hanging="567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SOUZA APR; CRESTANI AH; VIEIRA CR; MACHADO FCM; PEREIRA LL. O grupo na fonoaudiologia: origens clínicas e na saúde coletiva. Rev. CEFAC. 2011, 13(1): 140-151.</w:t>
            </w:r>
          </w:p>
          <w:p w:rsidR="00000000" w:rsidDel="00000000" w:rsidP="00000000" w:rsidRDefault="00000000" w:rsidRPr="00000000">
            <w:pPr>
              <w:ind w:left="567" w:hanging="567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SANTANA AP, MACHADO MLCA, BIANCHI KSR, FREITAS MS, MARQUES JM. O articulatório e o fonológico na clínica da linguagem: da teoria à prática. Rev. CEFAC. 2010; 12(2):193-201.</w:t>
            </w:r>
          </w:p>
          <w:p w:rsidR="00000000" w:rsidDel="00000000" w:rsidP="00000000" w:rsidRDefault="00000000" w:rsidRPr="00000000">
            <w:pPr>
              <w:ind w:left="540" w:hanging="54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SPINELLI M. Gagueira: Análise de Pesquisas e Casos Clínicos. In: CUNHA, MC; FRIEDMAN, S. Gagueira e subjetividade: possibilidades de tratamento. Porto Alegre: Artmed, 2001. pp. 15-32.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SPINELLI V. et al. Distúrbios articulatórios. In: FERREIRA et al. Temas de Fonoaudiologia. São Paulo: Edições Loyola, 1984, pp.121-197</w:t>
            </w:r>
          </w:p>
          <w:p w:rsidR="00000000" w:rsidDel="00000000" w:rsidP="00000000" w:rsidRDefault="00000000" w:rsidRPr="00000000">
            <w:pPr>
              <w:ind w:left="540" w:hanging="54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WIETHAN FM, MOTA HB. Propostas terapêuticas para os desvios fonológicos: diferentes soluções para o mesmo problema. Rev. CEFAC. 2011; 13(3):541-551.</w:t>
            </w:r>
          </w:p>
          <w:p w:rsidR="00000000" w:rsidDel="00000000" w:rsidP="00000000" w:rsidRDefault="00000000" w:rsidRPr="00000000">
            <w:pPr>
              <w:ind w:left="540" w:hanging="54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Referências Complementares: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67" w:hanging="567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BRASIL.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Ministério da Saúde. Secretaria de Atenção à Saúde Núcleo Técnico da Política Nacional de Humanização. Acolhimento nas práticas de produção de saúde. 2ª edição. 3ª reimpressão. Série B Textos Básicos da Saúde. Brasília, 2009. </w:t>
            </w:r>
          </w:p>
          <w:p w:rsidR="00000000" w:rsidDel="00000000" w:rsidP="00000000" w:rsidRDefault="00000000" w:rsidRPr="00000000">
            <w:pPr>
              <w:ind w:left="567" w:hanging="567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hanging="54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SÍTIOS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INDICADOS:</w:t>
            </w:r>
          </w:p>
          <w:p w:rsidR="00000000" w:rsidDel="00000000" w:rsidP="00000000" w:rsidRDefault="00000000" w:rsidRPr="00000000">
            <w:pPr>
              <w:ind w:left="540" w:hanging="54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Fonoaudiologia em ação: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http://www.ifono.com.br/ifono.php/home</w:t>
              </w:r>
            </w:hyperlink>
            <w:hyperlink r:id="rId1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ind w:left="540" w:hanging="540"/>
              <w:contextualSpacing w:val="0"/>
              <w:jc w:val="both"/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American Speech-Language-Hearing Association.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http://www.asha.org/public/speech/development/</w:t>
              </w:r>
            </w:hyperlink>
            <w:hyperlink r:id="rId1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ind w:left="540" w:hanging="54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Associação Brasileira de Gagueira: 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http://www.abragagueira.org.br</w:t>
              </w:r>
            </w:hyperlink>
            <w:hyperlink r:id="rId1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ind w:left="540" w:hanging="54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Núcleo de Estudos e Pesquisas em Fluência da Fala: </w:t>
            </w:r>
            <w:hyperlink r:id="rId15">
              <w:r w:rsidDel="00000000" w:rsidR="00000000" w:rsidRPr="00000000">
                <w:rPr>
                  <w:rFonts w:ascii="Arial" w:cs="Arial" w:eastAsia="Arial" w:hAnsi="Arial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http://www.gagueiraesubjetividade.info/nepff.php</w:t>
              </w:r>
            </w:hyperlink>
            <w:hyperlink r:id="rId1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  <w:rtl w:val="0"/>
              </w:rPr>
              <w:t xml:space="preserve">International Sttutering Association: </w:t>
            </w:r>
            <w:hyperlink r:id="rId1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http://www.stutterisa.org/</w:t>
              </w:r>
            </w:hyperlink>
            <w:hyperlink r:id="rId1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360" w:firstLine="0"/>
              <w:contextualSpacing w:val="0"/>
            </w:pPr>
            <w:hyperlink r:id="rId19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120" w:lineRule="auto"/>
        <w:contextualSpacing w:val="0"/>
      </w:pPr>
      <w:hyperlink r:id="rId20">
        <w:r w:rsidDel="00000000" w:rsidR="00000000" w:rsidRPr="00000000">
          <w:rPr>
            <w:rtl w:val="0"/>
          </w:rPr>
        </w:r>
      </w:hyperlink>
    </w:p>
    <w:tbl>
      <w:tblPr>
        <w:tblStyle w:val="Table7"/>
        <w:bidiVisual w:val="0"/>
        <w:tblW w:w="10150.0" w:type="dxa"/>
        <w:jc w:val="left"/>
        <w:tblInd w:w="-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50"/>
        <w:tblGridChange w:id="0">
          <w:tblGrid>
            <w:gridCol w:w="10150"/>
          </w:tblGrid>
        </w:tblGridChange>
      </w:tblGrid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Critérios de Avaliação: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avaliação da disciplina ocorrerá por meio de duas provas escritas individuais ou um trabalho e uma prova. A primeira prova poderá ser substituída por um trabalho em grupo (estudo de caso no formato de portfólio) a ser combinado com a classe no início do semestre junto com a professora. Neste caso, será fornecida bibliografia adicional e realizada apenas a prova final.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12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10150.0" w:type="dxa"/>
        <w:jc w:val="left"/>
        <w:tblInd w:w="-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50"/>
        <w:tblGridChange w:id="0">
          <w:tblGrid>
            <w:gridCol w:w="10150"/>
          </w:tblGrid>
        </w:tblGridChange>
      </w:tblGrid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Observações: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Cada prova (ou o trabalho e a prova) terá peso 1 e a média final será calculada pela média aritmética das duas notas. A aprovação ocorrerá com média final igual ou superior a 5,0 (cinco) e frequência igual ou superior a 75%. A nota mínima para exame é 2,5 (dois e meio) com frequência igual ou superior a 75%.</w:t>
            </w:r>
          </w:p>
        </w:tc>
      </w:tr>
    </w:tbl>
    <w:p w:rsidR="00000000" w:rsidDel="00000000" w:rsidP="00000000" w:rsidRDefault="00000000" w:rsidRPr="00000000">
      <w:pPr>
        <w:spacing w:line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12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10150.0" w:type="dxa"/>
        <w:jc w:val="left"/>
        <w:tblInd w:w="-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50"/>
        <w:tblGridChange w:id="0">
          <w:tblGrid>
            <w:gridCol w:w="10150"/>
          </w:tblGrid>
        </w:tblGridChange>
      </w:tblGrid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ASSINATURAS:</w:t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vertAlign w:val="baseline"/>
                <w:rtl w:val="0"/>
              </w:rPr>
              <w:t xml:space="preserve">Docente Responsável: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Profa. Dra. Regina Yu Shon Chun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12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0"/>
        <w:bidiVisual w:val="0"/>
        <w:tblW w:w="10150.0" w:type="dxa"/>
        <w:jc w:val="left"/>
        <w:tblInd w:w="-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50"/>
        <w:tblGridChange w:id="0">
          <w:tblGrid>
            <w:gridCol w:w="10150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</w:tcBorders>
            <w:shd w:fill="e0e0e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CÓDIGO DE AUTENTICAÇÃO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Verifique a autenticidade deste documento na página </w:t>
            </w: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ff0000"/>
                  <w:sz w:val="18"/>
                  <w:szCs w:val="18"/>
                  <w:u w:val="single"/>
                  <w:vertAlign w:val="baseline"/>
                  <w:rtl w:val="0"/>
                </w:rPr>
                <w:t xml:space="preserve">www.dac.unicamp.br/link</w:t>
              </w:r>
            </w:hyperlink>
            <w:hyperlink r:id="rId2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vertAlign w:val="baseline"/>
                <w:rtl w:val="0"/>
              </w:rPr>
              <w:t xml:space="preserve">Código Chave: xxxxxxxxx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center" w:pos="4419"/>
          <w:tab w:val="right" w:pos="8838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23" w:type="default"/>
      <w:footerReference r:id="rId24" w:type="default"/>
      <w:pgSz w:h="15840" w:w="12240"/>
      <w:pgMar w:bottom="180" w:top="540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tbl>
    <w:tblPr>
      <w:tblStyle w:val="Table12"/>
      <w:bidiVisual w:val="0"/>
      <w:tblW w:w="10150.0" w:type="dxa"/>
      <w:jc w:val="left"/>
      <w:tblInd w:w="-250.0" w:type="dxa"/>
      <w:tblLayout w:type="fixed"/>
      <w:tblLook w:val="0000"/>
    </w:tblPr>
    <w:tblGrid>
      <w:gridCol w:w="8530"/>
      <w:gridCol w:w="1620"/>
      <w:tblGridChange w:id="0">
        <w:tblGrid>
          <w:gridCol w:w="8530"/>
          <w:gridCol w:w="1620"/>
        </w:tblGrid>
      </w:tblGridChange>
    </w:tblGrid>
    <w:tr>
      <w:trPr>
        <w:trHeight w:val="260" w:hRule="atLeast"/>
      </w:trPr>
      <w:tc>
        <w:tcPr>
          <w:shd w:fill="ffffff"/>
        </w:tcPr>
        <w:p w:rsidR="00000000" w:rsidDel="00000000" w:rsidP="00000000" w:rsidRDefault="00000000" w:rsidRPr="00000000">
          <w:pPr>
            <w:contextualSpacing w:val="0"/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vertAlign w:val="baseline"/>
              <w:rtl w:val="0"/>
            </w:rPr>
            <w:t xml:space="preserve">EMISSÃO: </w:t>
          </w: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05 de janeiro de 2017</w:t>
          </w:r>
        </w:p>
        <w:p w:rsidR="00000000" w:rsidDel="00000000" w:rsidP="00000000" w:rsidRDefault="00000000" w:rsidRPr="00000000">
          <w:pPr>
            <w:contextualSpacing w:val="0"/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vertAlign w:val="baseline"/>
              <w:rtl w:val="0"/>
            </w:rPr>
            <w:t xml:space="preserve">PÁGINA:    </w:t>
          </w:r>
          <w:fldSimple w:instr="PAGE" w:fldLock="0" w:dirty="0"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r>
          </w:fldSimple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vertAlign w:val="baseline"/>
              <w:rtl w:val="0"/>
            </w:rPr>
            <w:t xml:space="preserve"> de </w:t>
          </w:r>
          <w:fldSimple w:instr="NUMPAGES" w:fldLock="0" w:dirty="0"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r>
          </w:fldSimple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tabs>
              <w:tab w:val="center" w:pos="4419"/>
              <w:tab w:val="right" w:pos="8838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tabs>
              <w:tab w:val="center" w:pos="4419"/>
              <w:tab w:val="right" w:pos="8838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Fonts w:ascii="Calibri" w:cs="Calibri" w:eastAsia="Calibri" w:hAnsi="Calibri"/>
              <w:b w:val="0"/>
              <w:sz w:val="12"/>
              <w:szCs w:val="12"/>
              <w:vertAlign w:val="baseline"/>
              <w:rtl w:val="0"/>
            </w:rPr>
            <w:t xml:space="preserve">UNICAMP – Universidade Estadual de Campinas</w:t>
          </w:r>
        </w:p>
        <w:p w:rsidR="00000000" w:rsidDel="00000000" w:rsidP="00000000" w:rsidRDefault="00000000" w:rsidRPr="00000000">
          <w:pPr>
            <w:tabs>
              <w:tab w:val="center" w:pos="4419"/>
              <w:tab w:val="right" w:pos="8838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Fonts w:ascii="Calibri" w:cs="Calibri" w:eastAsia="Calibri" w:hAnsi="Calibri"/>
              <w:b w:val="1"/>
              <w:sz w:val="12"/>
              <w:szCs w:val="12"/>
              <w:vertAlign w:val="baseline"/>
              <w:rtl w:val="0"/>
            </w:rPr>
            <w:t xml:space="preserve">DAC – Diretoria Acadêmica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tabs>
              <w:tab w:val="center" w:pos="4419"/>
              <w:tab w:val="right" w:pos="8838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Fonts w:ascii="Calibri" w:cs="Calibri" w:eastAsia="Calibri" w:hAnsi="Calibri"/>
              <w:b w:val="0"/>
              <w:sz w:val="12"/>
              <w:szCs w:val="12"/>
              <w:vertAlign w:val="baseline"/>
              <w:rtl w:val="0"/>
            </w:rPr>
            <w:t xml:space="preserve">Rua Sérgio Buarque de Holanda, 251 - Cidade Universitária – Barão Geraldo – Campinas/SP – 13083-970 </w:t>
          </w:r>
        </w:p>
        <w:p w:rsidR="00000000" w:rsidDel="00000000" w:rsidP="00000000" w:rsidRDefault="00000000" w:rsidRPr="00000000">
          <w:pPr>
            <w:tabs>
              <w:tab w:val="center" w:pos="4419"/>
              <w:tab w:val="right" w:pos="8838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Fonts w:ascii="Calibri" w:cs="Calibri" w:eastAsia="Calibri" w:hAnsi="Calibri"/>
              <w:b w:val="0"/>
              <w:sz w:val="12"/>
              <w:szCs w:val="12"/>
              <w:vertAlign w:val="baseline"/>
              <w:rtl w:val="0"/>
            </w:rPr>
            <w:t xml:space="preserve">Diretoria de Registro e Gerenciamento Acadêmico – 00 55 19 3521 6662 </w:t>
          </w:r>
        </w:p>
        <w:p w:rsidR="00000000" w:rsidDel="00000000" w:rsidP="00000000" w:rsidRDefault="00000000" w:rsidRPr="00000000">
          <w:pPr>
            <w:spacing w:after="151" w:lineRule="auto"/>
            <w:contextualSpacing w:val="0"/>
            <w:jc w:val="center"/>
          </w:pPr>
          <w:r w:rsidDel="00000000" w:rsidR="00000000" w:rsidRPr="00000000">
            <w:rPr>
              <w:rFonts w:ascii="Calibri" w:cs="Calibri" w:eastAsia="Calibri" w:hAnsi="Calibri"/>
              <w:sz w:val="12"/>
              <w:szCs w:val="12"/>
              <w:vertAlign w:val="baseline"/>
              <w:rtl w:val="0"/>
            </w:rPr>
            <w:t xml:space="preserve">www.dac.unicamp.br</w:t>
          </w:r>
          <w:r w:rsidDel="00000000" w:rsidR="00000000" w:rsidRPr="00000000">
            <w:rPr>
              <w:rtl w:val="0"/>
            </w:rPr>
          </w:r>
        </w:p>
      </w:tc>
      <w:tc>
        <w:tcPr>
          <w:shd w:fill="ffffff"/>
        </w:tcPr>
        <w:p w:rsidR="00000000" w:rsidDel="00000000" w:rsidP="00000000" w:rsidRDefault="00000000" w:rsidRPr="00000000">
          <w:pPr>
            <w:contextualSpacing w:val="0"/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vertAlign w:val="baseline"/>
              <w:rtl w:val="0"/>
            </w:rPr>
            <w:t xml:space="preserve">Rubrica:</w:t>
          </w:r>
        </w:p>
        <w:p w:rsidR="00000000" w:rsidDel="00000000" w:rsidP="00000000" w:rsidRDefault="00000000" w:rsidRPr="00000000">
          <w:pPr>
            <w:contextualSpacing w:val="0"/>
            <w:jc w:val="right"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after="151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right" w:pos="8280"/>
      </w:tabs>
      <w:spacing w:after="151" w:before="0" w:line="240" w:lineRule="auto"/>
      <w:ind w:right="360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11"/>
      <w:bidiVisual w:val="0"/>
      <w:tblW w:w="10150.0" w:type="dxa"/>
      <w:jc w:val="left"/>
      <w:tblInd w:w="-7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550"/>
      <w:gridCol w:w="6190"/>
      <w:gridCol w:w="2410"/>
      <w:tblGridChange w:id="0">
        <w:tblGrid>
          <w:gridCol w:w="1550"/>
          <w:gridCol w:w="6190"/>
          <w:gridCol w:w="2410"/>
        </w:tblGrid>
      </w:tblGridChange>
    </w:tblGrid>
    <w:tr>
      <w:trPr>
        <w:trHeight w:val="108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>
          <w:pPr>
            <w:spacing w:before="708" w:lineRule="auto"/>
            <w:contextualSpacing w:val="0"/>
            <w:jc w:val="both"/>
          </w:pPr>
          <w:r w:rsidDel="00000000" w:rsidR="00000000" w:rsidRPr="00000000">
            <w:drawing>
              <wp:inline distB="0" distT="0" distL="114300" distR="114300">
                <wp:extent cx="509270" cy="508635"/>
                <wp:effectExtent b="0" l="0" r="0" t="0"/>
                <wp:docPr id="1" name="image02.jpg"/>
                <a:graphic>
                  <a:graphicData uri="http://schemas.openxmlformats.org/drawingml/2006/picture">
                    <pic:pic>
                      <pic:nvPicPr>
                        <pic:cNvPr id="0" name="image0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270" cy="5086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>
          <w:pPr>
            <w:keepNext w:val="1"/>
            <w:spacing w:after="0" w:before="708" w:line="240" w:lineRule="auto"/>
            <w:contextualSpacing w:val="0"/>
            <w:jc w:val="center"/>
          </w:pPr>
          <w:r w:rsidDel="00000000" w:rsidR="00000000" w:rsidRPr="00000000">
            <w:rPr>
              <w:rFonts w:ascii="Calibri" w:cs="Calibri" w:eastAsia="Calibri" w:hAnsi="Calibri"/>
              <w:b w:val="0"/>
              <w:sz w:val="20"/>
              <w:szCs w:val="20"/>
              <w:vertAlign w:val="baseline"/>
              <w:rtl w:val="0"/>
            </w:rPr>
            <w:t xml:space="preserve">UNIVERSIDADE ESTADUAL DE CAMPINAS</w:t>
          </w:r>
        </w:p>
        <w:p w:rsidR="00000000" w:rsidDel="00000000" w:rsidP="00000000" w:rsidRDefault="00000000" w:rsidRPr="00000000">
          <w:pPr>
            <w:keepNext w:val="1"/>
            <w:tabs>
              <w:tab w:val="left" w:pos="199"/>
              <w:tab w:val="center" w:pos="3025"/>
            </w:tabs>
            <w:spacing w:after="0" w:before="0" w:line="240" w:lineRule="auto"/>
            <w:contextualSpacing w:val="0"/>
            <w:jc w:val="left"/>
          </w:pPr>
          <w:r w:rsidDel="00000000" w:rsidR="00000000" w:rsidRPr="00000000">
            <w:rPr>
              <w:rFonts w:ascii="Calibri" w:cs="Calibri" w:eastAsia="Calibri" w:hAnsi="Calibri"/>
              <w:b w:val="0"/>
              <w:sz w:val="20"/>
              <w:szCs w:val="20"/>
              <w:vertAlign w:val="baseline"/>
              <w:rtl w:val="0"/>
            </w:rPr>
            <w:tab/>
            <w:tab/>
            <w:t xml:space="preserve">DIRETORIA ACADÊMICA</w:t>
          </w:r>
        </w:p>
        <w:p w:rsidR="00000000" w:rsidDel="00000000" w:rsidP="00000000" w:rsidRDefault="00000000" w:rsidRPr="00000000">
          <w:pPr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contextualSpacing w:val="0"/>
            <w:jc w:val="center"/>
          </w:pPr>
          <w:r w:rsidDel="00000000" w:rsidR="00000000" w:rsidRPr="00000000">
            <w:rPr>
              <w:rFonts w:ascii="Calibri" w:cs="Calibri" w:eastAsia="Calibri" w:hAnsi="Calibri"/>
              <w:b w:val="1"/>
              <w:vertAlign w:val="baseline"/>
              <w:rtl w:val="0"/>
            </w:rPr>
            <w:t xml:space="preserve">PROGRAMAS E BIBLIOGRAFIAS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contextualSpacing w:val="0"/>
            <w:jc w:val="center"/>
          </w:pPr>
          <w:r w:rsidDel="00000000" w:rsidR="00000000" w:rsidRPr="00000000">
            <w:rPr>
              <w:rFonts w:ascii="Calibri" w:cs="Calibri" w:eastAsia="Calibri" w:hAnsi="Calibri"/>
              <w:b w:val="1"/>
              <w:sz w:val="40"/>
              <w:szCs w:val="40"/>
              <w:vertAlign w:val="baseline"/>
              <w:rtl w:val="0"/>
            </w:rPr>
            <w:t xml:space="preserve">1º</w:t>
          </w:r>
          <w:r w:rsidDel="00000000" w:rsidR="00000000" w:rsidRPr="00000000">
            <w:rPr>
              <w:rFonts w:ascii="Calibri" w:cs="Calibri" w:eastAsia="Calibri" w:hAnsi="Calibri"/>
              <w:b w:val="1"/>
              <w:sz w:val="20"/>
              <w:szCs w:val="20"/>
              <w:vertAlign w:val="baseline"/>
              <w:rtl w:val="0"/>
            </w:rPr>
            <w:t xml:space="preserve"> período letivo de 201</w:t>
          </w:r>
          <w:r w:rsidDel="00000000" w:rsidR="00000000" w:rsidRPr="00000000">
            <w:rPr>
              <w:rFonts w:ascii="Calibri" w:cs="Calibri" w:eastAsia="Calibri" w:hAnsi="Calibri"/>
              <w:b w:val="1"/>
              <w:sz w:val="20"/>
              <w:szCs w:val="20"/>
              <w:rtl w:val="0"/>
            </w:rPr>
            <w:t xml:space="preserve">7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>
          <w:pPr>
            <w:spacing w:before="708" w:lineRule="auto"/>
            <w:contextualSpacing w:val="0"/>
            <w:jc w:val="right"/>
          </w:pPr>
          <w:r w:rsidDel="00000000" w:rsidR="00000000" w:rsidRPr="00000000">
            <w:drawing>
              <wp:inline distB="0" distT="0" distL="114300" distR="114300">
                <wp:extent cx="706755" cy="470535"/>
                <wp:effectExtent b="0" l="0" r="0" t="0"/>
                <wp:docPr id="2" name="image03.jpg"/>
                <a:graphic>
                  <a:graphicData uri="http://schemas.openxmlformats.org/drawingml/2006/picture">
                    <pic:pic>
                      <pic:nvPicPr>
                        <pic:cNvPr id="0" name="image03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755" cy="4705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contextualSpacing w:val="0"/>
            <w:jc w:val="right"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stutterisa.org/" TargetMode="External"/><Relationship Id="rId11" Type="http://schemas.openxmlformats.org/officeDocument/2006/relationships/hyperlink" Target="http://www.asha.org/public/speech/development/" TargetMode="External"/><Relationship Id="rId22" Type="http://schemas.openxmlformats.org/officeDocument/2006/relationships/hyperlink" Target="http://www.dac.unicamp.br/link" TargetMode="External"/><Relationship Id="rId10" Type="http://schemas.openxmlformats.org/officeDocument/2006/relationships/hyperlink" Target="http://www.ifono.com.br/ifono.php/home" TargetMode="External"/><Relationship Id="rId21" Type="http://schemas.openxmlformats.org/officeDocument/2006/relationships/hyperlink" Target="http://www.dac.unicamp.br/link" TargetMode="External"/><Relationship Id="rId13" Type="http://schemas.openxmlformats.org/officeDocument/2006/relationships/hyperlink" Target="http://www.abragagueira.org.br" TargetMode="External"/><Relationship Id="rId24" Type="http://schemas.openxmlformats.org/officeDocument/2006/relationships/footer" Target="footer1.xml"/><Relationship Id="rId12" Type="http://schemas.openxmlformats.org/officeDocument/2006/relationships/hyperlink" Target="http://www.asha.org/public/speech/development/" TargetMode="External"/><Relationship Id="rId23" Type="http://schemas.openxmlformats.org/officeDocument/2006/relationships/header" Target="header1.xm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ifono.com.br/ifono.php/home" TargetMode="External"/><Relationship Id="rId15" Type="http://schemas.openxmlformats.org/officeDocument/2006/relationships/hyperlink" Target="http://www.gagueiraesubjetividade.info/nepff.php" TargetMode="External"/><Relationship Id="rId14" Type="http://schemas.openxmlformats.org/officeDocument/2006/relationships/hyperlink" Target="http://www.abragagueira.org.br" TargetMode="External"/><Relationship Id="rId17" Type="http://schemas.openxmlformats.org/officeDocument/2006/relationships/hyperlink" Target="http://www.stutterisa.org/" TargetMode="External"/><Relationship Id="rId16" Type="http://schemas.openxmlformats.org/officeDocument/2006/relationships/hyperlink" Target="http://www.gagueiraesubjetividade.info/nepff.php" TargetMode="External"/><Relationship Id="rId5" Type="http://schemas.openxmlformats.org/officeDocument/2006/relationships/hyperlink" Target="http://www.asha.org/policy/SP2016-00343/" TargetMode="External"/><Relationship Id="rId19" Type="http://schemas.openxmlformats.org/officeDocument/2006/relationships/hyperlink" Target="http://www.stutterisa.org/" TargetMode="External"/><Relationship Id="rId6" Type="http://schemas.openxmlformats.org/officeDocument/2006/relationships/hyperlink" Target="http://www.asha.org/policy/SP2016-00343/" TargetMode="External"/><Relationship Id="rId18" Type="http://schemas.openxmlformats.org/officeDocument/2006/relationships/hyperlink" Target="http://www.stutterisa.org/" TargetMode="External"/><Relationship Id="rId7" Type="http://schemas.openxmlformats.org/officeDocument/2006/relationships/hyperlink" Target="http://www.gagueiraesubjetividade.info/livro_cartas/cartas_paciente_port.pdf" TargetMode="External"/><Relationship Id="rId8" Type="http://schemas.openxmlformats.org/officeDocument/2006/relationships/hyperlink" Target="http://portal.revistas.bvs.br/transf.php?xsl=xsl/titles.xsl&amp;xml=http://catserver.bireme.br/cgi-bin/wxis1660.exe/?IsisScript=../cgi-bin/catrevistas/catrevistas.xis%7Cdatabase_name=TITLES%7Clist_type=title%7Ccat_name=ALL%7Cfrom=1%7Ccount=50&amp;lang=pt&amp;comefrom=home&amp;home=false&amp;task=show_magazines&amp;request_made_adv_search=false&amp;lang=pt&amp;show_adv_search=false&amp;help_file=/help_pt.htm&amp;connector=ET&amp;search_exp=Rev.%20m%C3%A9d.%20Minas%20Gerai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2.jpg"/><Relationship Id="rId2" Type="http://schemas.openxmlformats.org/officeDocument/2006/relationships/image" Target="media/image03.jpg"/></Relationships>
</file>